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B28" w:rsidRDefault="00AE5B28" w:rsidP="00DD0580">
      <w:pPr>
        <w:pStyle w:val="Titre1"/>
        <w:jc w:val="center"/>
      </w:pPr>
      <w:r>
        <w:t xml:space="preserve">Consultation Publique </w:t>
      </w:r>
      <w:proofErr w:type="spellStart"/>
      <w:r>
        <w:t>IoT</w:t>
      </w:r>
      <w:proofErr w:type="spellEnd"/>
      <w:r>
        <w:t xml:space="preserve"> ARCEP</w:t>
      </w:r>
    </w:p>
    <w:p w:rsidR="00AE5B28" w:rsidRDefault="00AE5B28" w:rsidP="00DD0580">
      <w:pPr>
        <w:pStyle w:val="Titre1"/>
        <w:jc w:val="center"/>
      </w:pPr>
      <w:r>
        <w:t>Document n°</w:t>
      </w:r>
      <w:r w:rsidR="00DB7364">
        <w:t>2 Orientations pour l’ARCEP</w:t>
      </w:r>
    </w:p>
    <w:p w:rsidR="00553091" w:rsidRDefault="00553091" w:rsidP="00553091">
      <w:pPr>
        <w:pStyle w:val="Titre1"/>
        <w:jc w:val="center"/>
      </w:pPr>
      <w:r>
        <w:t xml:space="preserve">Commentaires AFNOR émis par le comité stratégique </w:t>
      </w:r>
      <w:proofErr w:type="spellStart"/>
      <w:r>
        <w:t>CoS</w:t>
      </w:r>
      <w:proofErr w:type="spellEnd"/>
      <w:r>
        <w:t xml:space="preserve"> ICN, et les commissions de normalisation CN </w:t>
      </w:r>
      <w:proofErr w:type="spellStart"/>
      <w:r>
        <w:t>IoT</w:t>
      </w:r>
      <w:proofErr w:type="spellEnd"/>
      <w:r>
        <w:t xml:space="preserve"> ainsi que CN 31</w:t>
      </w:r>
    </w:p>
    <w:p w:rsidR="00AE5B28" w:rsidRDefault="00AE5B28">
      <w:bookmarkStart w:id="0" w:name="_GoBack"/>
      <w:bookmarkEnd w:id="0"/>
    </w:p>
    <w:p w:rsidR="00AE5B28" w:rsidRDefault="00394852" w:rsidP="00394852">
      <w:pPr>
        <w:jc w:val="right"/>
      </w:pPr>
      <w:r>
        <w:t xml:space="preserve">A l’attention de Monsieur </w:t>
      </w:r>
      <w:proofErr w:type="spellStart"/>
      <w:r>
        <w:t>Loutrel</w:t>
      </w:r>
      <w:proofErr w:type="spellEnd"/>
      <w:r>
        <w:t>, Directeur Général de l’ARCEP</w:t>
      </w:r>
    </w:p>
    <w:p w:rsidR="00394852" w:rsidRDefault="00394852"/>
    <w:p w:rsidR="00394852" w:rsidRDefault="00394852">
      <w:r>
        <w:t xml:space="preserve">Monsieur le Directeur Général, </w:t>
      </w:r>
    </w:p>
    <w:p w:rsidR="00394852" w:rsidRDefault="00394852"/>
    <w:p w:rsidR="00394852" w:rsidRDefault="00394852" w:rsidP="00DC48DE">
      <w:pPr>
        <w:jc w:val="both"/>
      </w:pPr>
      <w:r>
        <w:t xml:space="preserve">La consultation publique concernant le projet de livre blanc sur l’internet des objets a retenu l’attention des membres des commissions nationales de normalisation AFNOR CN </w:t>
      </w:r>
      <w:proofErr w:type="spellStart"/>
      <w:r>
        <w:t>IoT</w:t>
      </w:r>
      <w:proofErr w:type="spellEnd"/>
      <w:r>
        <w:t xml:space="preserve"> et CN 31. Impliqués directement dans la fourniture, l’intégration et l’utilisation de solutions </w:t>
      </w:r>
      <w:proofErr w:type="spellStart"/>
      <w:r>
        <w:t>IoT</w:t>
      </w:r>
      <w:proofErr w:type="spellEnd"/>
      <w:r>
        <w:t xml:space="preserve"> ainsi que dans la recherche et la formation universitaire, les membres ont souhaité apporté leur soutien à cette initiative et profiter de la consultation publique pour vous faire part de quelques remarques que nous espérons constructives. </w:t>
      </w:r>
    </w:p>
    <w:p w:rsidR="00394852" w:rsidRDefault="00DC48DE" w:rsidP="00DC48DE">
      <w:pPr>
        <w:jc w:val="both"/>
      </w:pPr>
      <w:r>
        <w:t>Ces commentaires sont également supportés par le Centre National de Référence RFID dont je suis le directeur technique.</w:t>
      </w:r>
    </w:p>
    <w:p w:rsidR="00DC48DE" w:rsidRDefault="00DC48DE" w:rsidP="00DC48DE">
      <w:pPr>
        <w:jc w:val="both"/>
      </w:pPr>
      <w:r>
        <w:t xml:space="preserve">Je me tiens personnellement à votre disposition pour discuter plus en avant de ces </w:t>
      </w:r>
      <w:r w:rsidR="00337472">
        <w:t>réponses</w:t>
      </w:r>
      <w:r>
        <w:t xml:space="preserve"> et espère que vous </w:t>
      </w:r>
      <w:r w:rsidR="00450CBD">
        <w:t xml:space="preserve">les </w:t>
      </w:r>
      <w:r>
        <w:t>étudierez avec bienveillance.</w:t>
      </w:r>
    </w:p>
    <w:p w:rsidR="00DC48DE" w:rsidRDefault="00DC48DE" w:rsidP="00DC48DE">
      <w:pPr>
        <w:jc w:val="both"/>
      </w:pPr>
    </w:p>
    <w:p w:rsidR="00DC48DE" w:rsidRDefault="00DC48DE" w:rsidP="00DC48DE">
      <w:pPr>
        <w:jc w:val="both"/>
      </w:pPr>
      <w:r>
        <w:t>Je vous prie d’agréer, Monsieur le Directeur général, l’expression de mes meilleures salutations.</w:t>
      </w:r>
    </w:p>
    <w:p w:rsidR="00DC48DE" w:rsidRDefault="00DC48DE"/>
    <w:p w:rsidR="00394852" w:rsidRDefault="00DC48DE" w:rsidP="00DC48DE">
      <w:pPr>
        <w:ind w:left="4956" w:firstLine="708"/>
      </w:pPr>
      <w:r>
        <w:t xml:space="preserve">Claude </w:t>
      </w:r>
      <w:proofErr w:type="spellStart"/>
      <w:r>
        <w:t>Tételin</w:t>
      </w:r>
      <w:proofErr w:type="spellEnd"/>
    </w:p>
    <w:p w:rsidR="00DC48DE" w:rsidRDefault="00DC48DE" w:rsidP="00DC48DE">
      <w:pPr>
        <w:ind w:left="3540" w:firstLine="708"/>
      </w:pPr>
      <w:r>
        <w:t xml:space="preserve">Président des commissions AFNOR CN </w:t>
      </w:r>
      <w:proofErr w:type="spellStart"/>
      <w:r>
        <w:t>IoT</w:t>
      </w:r>
      <w:proofErr w:type="spellEnd"/>
      <w:r>
        <w:t xml:space="preserve"> et CN 31</w:t>
      </w:r>
    </w:p>
    <w:p w:rsidR="00394852" w:rsidRDefault="00394852"/>
    <w:p w:rsidR="00DC48DE" w:rsidRDefault="00DC48DE">
      <w:r>
        <w:br w:type="page"/>
      </w:r>
    </w:p>
    <w:p w:rsidR="00AE5B28" w:rsidRDefault="00AE5B28" w:rsidP="00DD0580">
      <w:pPr>
        <w:pStyle w:val="Titre1"/>
      </w:pPr>
      <w:r>
        <w:lastRenderedPageBreak/>
        <w:t>Introduction</w:t>
      </w:r>
    </w:p>
    <w:p w:rsidR="00AE5B28" w:rsidRDefault="00AE5B28" w:rsidP="00DD0580">
      <w:pPr>
        <w:jc w:val="both"/>
      </w:pPr>
      <w:r>
        <w:t>Le 19 juillet 2016, l’ARCEP a lancé une consultation publique sur son projet de livre blanc « Préparer la révolution de l’internet des objets ». Ce livre blanc est composé de deux documents. Le premier propose une cartographie des enjeux et le second propose des orientations pour l’ARCEP.</w:t>
      </w:r>
    </w:p>
    <w:p w:rsidR="00AE5B28" w:rsidRDefault="00AE5B28" w:rsidP="00DD0580">
      <w:pPr>
        <w:jc w:val="both"/>
      </w:pPr>
      <w:r>
        <w:t xml:space="preserve">Ce présent document propose des </w:t>
      </w:r>
      <w:r w:rsidR="00DB7364">
        <w:t xml:space="preserve">réponses aux questions posées dans </w:t>
      </w:r>
      <w:r>
        <w:t xml:space="preserve">le </w:t>
      </w:r>
      <w:r w:rsidR="00DB7364">
        <w:t xml:space="preserve">second </w:t>
      </w:r>
      <w:r>
        <w:t xml:space="preserve">document. Ces </w:t>
      </w:r>
      <w:r w:rsidR="00DB7364">
        <w:t xml:space="preserve">réponses </w:t>
      </w:r>
      <w:r>
        <w:t>ont été discuté</w:t>
      </w:r>
      <w:r w:rsidR="00DB7364">
        <w:t>e</w:t>
      </w:r>
      <w:r>
        <w:t>s et validé</w:t>
      </w:r>
      <w:r w:rsidR="00DB7364">
        <w:t>e</w:t>
      </w:r>
      <w:r>
        <w:t xml:space="preserve">s au sein des deux commissions de normalisation de l’AFNOR directement impliquées dans l’internet des objets : </w:t>
      </w:r>
    </w:p>
    <w:p w:rsidR="00AE5B28" w:rsidRDefault="00AE5B28" w:rsidP="00DD0580">
      <w:pPr>
        <w:pStyle w:val="Paragraphedeliste"/>
        <w:numPr>
          <w:ilvl w:val="0"/>
          <w:numId w:val="1"/>
        </w:numPr>
        <w:jc w:val="both"/>
      </w:pPr>
      <w:r>
        <w:t>la CN 31 « Identification automatique et saisie de données », commission miroir des comités ISO/IEC JTC1/SC31 et CEN/TC225</w:t>
      </w:r>
    </w:p>
    <w:p w:rsidR="00AE5B28" w:rsidRDefault="00AE5B28" w:rsidP="00DD0580">
      <w:pPr>
        <w:pStyle w:val="Paragraphedeliste"/>
        <w:numPr>
          <w:ilvl w:val="0"/>
          <w:numId w:val="1"/>
        </w:numPr>
        <w:jc w:val="both"/>
      </w:pPr>
      <w:r>
        <w:t>la CN « Internet des objets », commission miroir des comités ISO/IEC JTC1 WG7 et WG10</w:t>
      </w:r>
    </w:p>
    <w:p w:rsidR="00AE5B28" w:rsidRDefault="00AE5B28" w:rsidP="00DD0580">
      <w:pPr>
        <w:jc w:val="both"/>
      </w:pPr>
    </w:p>
    <w:p w:rsidR="0091739E" w:rsidRDefault="00DB7364" w:rsidP="00DD0580">
      <w:pPr>
        <w:pStyle w:val="Titre2"/>
      </w:pPr>
      <w:r>
        <w:t>Question n°1</w:t>
      </w:r>
    </w:p>
    <w:p w:rsidR="00C368F0" w:rsidRDefault="00DB7364" w:rsidP="00DD0580">
      <w:pPr>
        <w:jc w:val="both"/>
      </w:pPr>
      <w:r>
        <w:t xml:space="preserve">Un cadre réglementaire permettant l’expérimentation de services de communication électroniques permettrait non seulement aux fournisseurs de technologies de tester en grandeur réelle les performances de leurs systèmes mais également aux utilisateurs potentiels de choisir une solution sur des bases autres que purement théoriques. Cela complèterait les </w:t>
      </w:r>
      <w:r w:rsidR="00C368F0">
        <w:t xml:space="preserve">résultats des </w:t>
      </w:r>
      <w:r w:rsidR="00C368F0" w:rsidRPr="00C368F0">
        <w:rPr>
          <w:i/>
        </w:rPr>
        <w:t>Proof of Concept</w:t>
      </w:r>
      <w:r>
        <w:t xml:space="preserve"> réalisés soit dans le cadre des LSP (Large </w:t>
      </w:r>
      <w:proofErr w:type="spellStart"/>
      <w:r>
        <w:t>Scale</w:t>
      </w:r>
      <w:proofErr w:type="spellEnd"/>
      <w:r>
        <w:t xml:space="preserve"> Pilots) mis en place par le Commission européenne soit dans le cadre de projets collaboratifs </w:t>
      </w:r>
      <w:r w:rsidR="00C368F0">
        <w:t>(</w:t>
      </w:r>
      <w:r>
        <w:t xml:space="preserve">tels qu’ITGDO </w:t>
      </w:r>
      <w:r w:rsidR="00027CFF">
        <w:t>pour l’aéronautique).</w:t>
      </w:r>
    </w:p>
    <w:p w:rsidR="00027CFF" w:rsidRDefault="00027CFF" w:rsidP="00DD0580">
      <w:pPr>
        <w:jc w:val="both"/>
      </w:pPr>
      <w:r>
        <w:t xml:space="preserve">Il est à noter que la </w:t>
      </w:r>
      <w:r w:rsidRPr="00027CFF">
        <w:t>réflexion sur l’assouplissement des contraintes d’expérimentation</w:t>
      </w:r>
      <w:r>
        <w:t xml:space="preserve"> doit concerner aussi bien les bandes libres (possibilités d’utilisation de ces bandes en dehors des règles en vigueur) que </w:t>
      </w:r>
      <w:r w:rsidRPr="00027CFF">
        <w:t>des demandes dans des bandes attribuées à l’</w:t>
      </w:r>
      <w:proofErr w:type="spellStart"/>
      <w:r w:rsidRPr="00027CFF">
        <w:t>Arcep</w:t>
      </w:r>
      <w:proofErr w:type="spellEnd"/>
      <w:r w:rsidRPr="00027CFF">
        <w:t xml:space="preserve"> ou à d’autres affectataires (en accord avec ces derniers), et sur du spectre attribué ou non à des acteurs bénéficiant d’autorisations individuelles d’utilisation des fréquences radioélectriques</w:t>
      </w:r>
      <w:r>
        <w:t>.</w:t>
      </w:r>
    </w:p>
    <w:p w:rsidR="000117C9" w:rsidRDefault="00C368F0" w:rsidP="00DD0580">
      <w:pPr>
        <w:jc w:val="both"/>
      </w:pPr>
      <w:r>
        <w:t xml:space="preserve">Une plateforme collaborative telle que Com4Innov </w:t>
      </w:r>
      <w:r w:rsidR="000117C9">
        <w:t>(</w:t>
      </w:r>
      <w:hyperlink r:id="rId7" w:history="1">
        <w:r w:rsidR="000117C9" w:rsidRPr="007473A1">
          <w:rPr>
            <w:rStyle w:val="Lienhypertexte"/>
          </w:rPr>
          <w:t>http://www.com4innov.com/</w:t>
        </w:r>
      </w:hyperlink>
      <w:r w:rsidR="000117C9">
        <w:t xml:space="preserve">) </w:t>
      </w:r>
      <w:r>
        <w:t xml:space="preserve">possède déjà les compétences et matériels nécessaires pour de telles expérimentations. </w:t>
      </w:r>
      <w:r w:rsidR="000117C9">
        <w:t xml:space="preserve">Elle bénéficie du soutien de </w:t>
      </w:r>
      <w:r w:rsidR="000117C9" w:rsidRPr="00027CFF">
        <w:t>fournisseurs télécoms et d’un réseau de partenaires représentant l’ensemble des acteurs de la chaine de valeur.</w:t>
      </w:r>
      <w:r w:rsidR="008B682C" w:rsidRPr="00027CFF">
        <w:t xml:space="preserve"> De plus cette plateforme est déjà connue par l'ARCEP qui lui octroie des fréquences et un bloc de numéros mobiles à des fins d’expérimentation.</w:t>
      </w:r>
    </w:p>
    <w:p w:rsidR="000117C9" w:rsidRDefault="000117C9" w:rsidP="00DD0580">
      <w:pPr>
        <w:jc w:val="both"/>
      </w:pPr>
    </w:p>
    <w:p w:rsidR="000117C9" w:rsidRDefault="000117C9" w:rsidP="000117C9">
      <w:pPr>
        <w:pStyle w:val="Titre2"/>
      </w:pPr>
      <w:r>
        <w:t>Question n°2</w:t>
      </w:r>
    </w:p>
    <w:p w:rsidR="000117C9" w:rsidRDefault="000117C9" w:rsidP="00DD0580">
      <w:pPr>
        <w:jc w:val="both"/>
      </w:pPr>
      <w:r>
        <w:t>Il est clair que les standards concernant la règlementation radio sont principalement développés par l’ETSI et 3GPP. L’implication de l’ARCEP doit donc y être maximale. Il ne faut cependant pas exclure une implication dans d’autres comités tels que l’ISO/IEC JTC1 pour les aspects ICT et CEN pour les aspects « applicatifs »</w:t>
      </w:r>
      <w:r w:rsidR="00440B3B">
        <w:t>, « technologiques » et « </w:t>
      </w:r>
      <w:proofErr w:type="spellStart"/>
      <w:r w:rsidR="00440B3B">
        <w:t>Privacy</w:t>
      </w:r>
      <w:proofErr w:type="spellEnd"/>
      <w:r w:rsidR="00440B3B">
        <w:t> »</w:t>
      </w:r>
      <w:r>
        <w:t>. Un mécanisme de liaison entre les représentants français dans ces comités et l’ARCEP permettrait une implication efficace et cohérente avec les budgets et ressources disponibles.</w:t>
      </w:r>
    </w:p>
    <w:p w:rsidR="0091739E" w:rsidRDefault="0091739E" w:rsidP="00AE5B28"/>
    <w:p w:rsidR="0091739E" w:rsidRDefault="006B5251" w:rsidP="00DD0580">
      <w:pPr>
        <w:pStyle w:val="Titre2"/>
      </w:pPr>
      <w:r>
        <w:t>Question n°3</w:t>
      </w:r>
    </w:p>
    <w:p w:rsidR="006B5251" w:rsidRDefault="006B5251" w:rsidP="00DD0580">
      <w:pPr>
        <w:jc w:val="both"/>
      </w:pPr>
      <w:r>
        <w:t>Sans avis</w:t>
      </w:r>
    </w:p>
    <w:p w:rsidR="006B5251" w:rsidRDefault="006B5251" w:rsidP="00DD0580">
      <w:pPr>
        <w:jc w:val="both"/>
      </w:pPr>
    </w:p>
    <w:p w:rsidR="006B5251" w:rsidRDefault="006B5251" w:rsidP="006B5251">
      <w:pPr>
        <w:pStyle w:val="Titre2"/>
      </w:pPr>
      <w:r>
        <w:lastRenderedPageBreak/>
        <w:t>Question n°4</w:t>
      </w:r>
    </w:p>
    <w:p w:rsidR="006B5251" w:rsidRDefault="006B5251" w:rsidP="00DD0580">
      <w:pPr>
        <w:jc w:val="both"/>
      </w:pPr>
      <w:r>
        <w:t xml:space="preserve">Dans son orientation n°5, l’ARCEP propose de donner de la visibilité sur la pérennité des standards GSM et sur l’utilisation des fréquences 900 et 1800 MHz. Nous pensons également qu’une visibilité sur la pérennité des bandes UHF libres est un facteur de confiance pour les utilisateurs d’applications </w:t>
      </w:r>
      <w:proofErr w:type="spellStart"/>
      <w:r>
        <w:t>IoT</w:t>
      </w:r>
      <w:proofErr w:type="spellEnd"/>
      <w:r>
        <w:t xml:space="preserve"> qui souhaitent déployer à grande échelle. Le manque de clarté sur la mise en application de la norme ETSI 302-208, notamment pour la bande 915-921 MHz ne permet pas aux acteurs français de s’engager dans la mise au point et la mise sur le marché de nouveaux produits.</w:t>
      </w:r>
    </w:p>
    <w:p w:rsidR="00C73E9E" w:rsidRDefault="00C73E9E" w:rsidP="00C73E9E">
      <w:pPr>
        <w:pStyle w:val="Titre2"/>
      </w:pPr>
      <w:r>
        <w:t>Question n°5</w:t>
      </w:r>
    </w:p>
    <w:p w:rsidR="006B5251" w:rsidRDefault="00C73E9E" w:rsidP="00DD0580">
      <w:pPr>
        <w:jc w:val="both"/>
      </w:pPr>
      <w:r>
        <w:t>La mise en place d’un portail des fréquences libres est un élément permettant de répondre aux interrogations précédentes (Question n°4). Bien que les utilisateurs de ces fréquences libres soient, par définition, isolés</w:t>
      </w:r>
      <w:r w:rsidR="00451D6E">
        <w:t>, ils appartiennent généralement à une communauté représentée par des entités « officielles ». Dans le cas de la RFID, on peut citer GS1 France, AIM, le Centre National de Référence de la RFID</w:t>
      </w:r>
      <w:r w:rsidR="001968C4">
        <w:t xml:space="preserve"> (CNRFID)</w:t>
      </w:r>
      <w:r w:rsidR="00451D6E">
        <w:t>, le CITC. L’ARCEP pourrait donc se rapprocher de ces entités pour recueillir les informations concernant l’</w:t>
      </w:r>
      <w:r w:rsidR="001968C4">
        <w:t>utilisation de</w:t>
      </w:r>
      <w:r w:rsidR="00451D6E">
        <w:t xml:space="preserve"> ces bandes libres.</w:t>
      </w:r>
    </w:p>
    <w:p w:rsidR="001968C4" w:rsidRDefault="001968C4" w:rsidP="00DD0580">
      <w:pPr>
        <w:jc w:val="both"/>
      </w:pPr>
      <w:r>
        <w:t>Comme l’a fait le CNRFID pour les applications RFID, l’ARCEP pourrait éditer un guide des fréquences libres (bandes, applications, normes de références, contraintes d’utilisation) permettant aux utilisateurs d’avoir une vision claire sur la disponibilité et l’utilisation de ces bandes.</w:t>
      </w:r>
    </w:p>
    <w:p w:rsidR="00036C2A" w:rsidRDefault="00036C2A" w:rsidP="00DD0580">
      <w:pPr>
        <w:jc w:val="both"/>
      </w:pPr>
      <w:r w:rsidRPr="00036C2A">
        <w:t>Avant toute mise en place d’un tel portail, il faudrait définir les objectifs d’un tel outil et les services qu’il pourrait porter. Pour cela, il faudrait identifier les points à améliorer pour rendre plus efficace l’utilisation des fréquences libres au bénéfice des différents acteurs de l’</w:t>
      </w:r>
      <w:proofErr w:type="spellStart"/>
      <w:r w:rsidRPr="00036C2A">
        <w:t>IoT</w:t>
      </w:r>
      <w:proofErr w:type="spellEnd"/>
      <w:r w:rsidRPr="00036C2A">
        <w:t>.</w:t>
      </w:r>
    </w:p>
    <w:p w:rsidR="006B5251" w:rsidRDefault="006B5251" w:rsidP="00DD0580">
      <w:pPr>
        <w:jc w:val="both"/>
      </w:pPr>
    </w:p>
    <w:p w:rsidR="001968C4" w:rsidRDefault="001968C4" w:rsidP="001968C4">
      <w:pPr>
        <w:pStyle w:val="Titre2"/>
      </w:pPr>
      <w:r>
        <w:t>Question n°6</w:t>
      </w:r>
    </w:p>
    <w:p w:rsidR="005F7391" w:rsidRDefault="001968C4" w:rsidP="00DD0580">
      <w:pPr>
        <w:jc w:val="both"/>
      </w:pPr>
      <w:r>
        <w:t xml:space="preserve">Contrairement aux identifiants IP, les identifiants utilisés dans les applications RFID ne sont </w:t>
      </w:r>
      <w:r w:rsidR="00036C2A">
        <w:t xml:space="preserve">aujourd’hui </w:t>
      </w:r>
      <w:r>
        <w:t xml:space="preserve">pas soumis à un problème de pénurie. </w:t>
      </w:r>
    </w:p>
    <w:p w:rsidR="005F7391" w:rsidRDefault="005F7391" w:rsidP="005F7391">
      <w:pPr>
        <w:pStyle w:val="Titre2"/>
      </w:pPr>
      <w:r>
        <w:t>Question n°7</w:t>
      </w:r>
    </w:p>
    <w:p w:rsidR="005F7391" w:rsidRDefault="005F7391" w:rsidP="00DD0580">
      <w:pPr>
        <w:jc w:val="both"/>
      </w:pPr>
      <w:r>
        <w:t>Nous soutenons l’initiative proposée dans l’orientation n°11 qui consiste à s’associer à l’ANFR pour le contrôle de l’utilisation du spectre notamment en bande libre. Au-delà d’un non-respect des règles de base, on peut craindre l’apparition sur le marché de matériels (souvent bon marché) non conformes aux gabarits d’émission. On peut également craindre que pour des raisons de besoins en couverture et en débit, certains utilisateurs ne respectent pas les taux d’occupation maximum autorisés.</w:t>
      </w:r>
    </w:p>
    <w:p w:rsidR="005F7391" w:rsidRDefault="005F7391" w:rsidP="00DD0580">
      <w:pPr>
        <w:jc w:val="both"/>
      </w:pPr>
    </w:p>
    <w:p w:rsidR="005F7391" w:rsidRDefault="005F7391" w:rsidP="005F7391">
      <w:pPr>
        <w:pStyle w:val="Titre2"/>
      </w:pPr>
      <w:r>
        <w:t>Question n°8</w:t>
      </w:r>
    </w:p>
    <w:p w:rsidR="005F7391" w:rsidRDefault="005F7391" w:rsidP="00DD0580">
      <w:pPr>
        <w:jc w:val="both"/>
      </w:pPr>
      <w:r>
        <w:t>Pas de commentaire. Nous soutenons l’ARCEP dans sa démarche auprès de la Commission européenne</w:t>
      </w:r>
    </w:p>
    <w:p w:rsidR="005F7391" w:rsidRDefault="005F7391" w:rsidP="00DD0580">
      <w:pPr>
        <w:jc w:val="both"/>
      </w:pPr>
    </w:p>
    <w:p w:rsidR="005F7391" w:rsidRDefault="005F7391" w:rsidP="005F7391">
      <w:pPr>
        <w:pStyle w:val="Titre2"/>
      </w:pPr>
      <w:r>
        <w:t>Question n°9</w:t>
      </w:r>
    </w:p>
    <w:p w:rsidR="005F7391" w:rsidRDefault="005F7391" w:rsidP="00DD0580">
      <w:pPr>
        <w:jc w:val="both"/>
      </w:pPr>
      <w:r>
        <w:t>La mise à jour à distance des cartes SIM pour les objets connectés peut être vue comme une solution permettant le changement de fournisseur. Elle pose néanmoins la question de la vulnérabilité introduite dans la sécurité globale du système. L’ARCEP doit pouvoir soutenir cette initiative en collaboration étroite avec l’ANSSI et avec les acteurs privés de la sécurité (</w:t>
      </w:r>
      <w:proofErr w:type="spellStart"/>
      <w:r>
        <w:t>Gemalto</w:t>
      </w:r>
      <w:proofErr w:type="spellEnd"/>
      <w:r>
        <w:t>, Thalès, Morpho, …)</w:t>
      </w:r>
    </w:p>
    <w:p w:rsidR="009D2702" w:rsidRDefault="009D2702" w:rsidP="00DD0580">
      <w:pPr>
        <w:jc w:val="both"/>
      </w:pPr>
    </w:p>
    <w:p w:rsidR="009D2702" w:rsidRDefault="009D2702" w:rsidP="009D2702">
      <w:pPr>
        <w:pStyle w:val="Titre2"/>
      </w:pPr>
      <w:r>
        <w:t>Question n°10</w:t>
      </w:r>
    </w:p>
    <w:p w:rsidR="009D2702" w:rsidRDefault="009D2702" w:rsidP="00DD0580">
      <w:pPr>
        <w:jc w:val="both"/>
      </w:pPr>
      <w:r>
        <w:t xml:space="preserve">Le référentiel des offres de connectivité </w:t>
      </w:r>
      <w:r w:rsidR="008570DC">
        <w:t xml:space="preserve">serait un </w:t>
      </w:r>
      <w:r>
        <w:t xml:space="preserve">élément </w:t>
      </w:r>
      <w:r w:rsidR="008570DC">
        <w:t>intéressant pour aider les utilisateurs dans leur choix.</w:t>
      </w:r>
      <w:r>
        <w:t xml:space="preserve"> Il devrait permettre d’accroitre la confiance et lever certaines inquiétudes. Laissés aux mains des </w:t>
      </w:r>
      <w:r w:rsidR="008570DC">
        <w:t xml:space="preserve">seuls </w:t>
      </w:r>
      <w:r>
        <w:t xml:space="preserve">fournisseurs et de leur discours parfois « commercial et marketing », ces utilisateurs (notamment industriels) pourraient </w:t>
      </w:r>
      <w:r w:rsidR="008570DC">
        <w:t xml:space="preserve">alors </w:t>
      </w:r>
      <w:r>
        <w:t xml:space="preserve">s’engager avec plus de sérénité. L’ARCEP est un des acteurs </w:t>
      </w:r>
      <w:r w:rsidR="008570DC">
        <w:t xml:space="preserve">qui permettrait </w:t>
      </w:r>
      <w:r>
        <w:t>de donner à ce référentiel une image de neutralité et d’indépendance.</w:t>
      </w:r>
    </w:p>
    <w:p w:rsidR="009D2702" w:rsidRDefault="009D2702" w:rsidP="009D2702">
      <w:pPr>
        <w:pStyle w:val="Titre2"/>
      </w:pPr>
      <w:r>
        <w:t>Question n°11</w:t>
      </w:r>
    </w:p>
    <w:p w:rsidR="009D2702" w:rsidRDefault="009D2702" w:rsidP="00DD0580">
      <w:pPr>
        <w:jc w:val="both"/>
      </w:pPr>
      <w:r>
        <w:t>Sans avis</w:t>
      </w:r>
    </w:p>
    <w:p w:rsidR="009D2702" w:rsidRDefault="009D2702" w:rsidP="00DD0580">
      <w:pPr>
        <w:jc w:val="both"/>
      </w:pPr>
    </w:p>
    <w:p w:rsidR="009D2702" w:rsidRDefault="009D2702" w:rsidP="009D2702">
      <w:pPr>
        <w:pStyle w:val="Titre2"/>
      </w:pPr>
      <w:r>
        <w:t>Question n°12</w:t>
      </w:r>
    </w:p>
    <w:p w:rsidR="009D2702" w:rsidRDefault="009D2702" w:rsidP="00DD0580">
      <w:pPr>
        <w:jc w:val="both"/>
      </w:pPr>
      <w:r>
        <w:t>L’ARCEP doit pouvoir « guider » la CNIL dans les aspects technologiques des dossiers qu’elle sera amenée à traiter. L’évaluation des menaces et des vulnérabilités de telle ou telle technologie doit être faite sur des bases réelles et par des experts du domaine. Une coopération étroite avec la CNIL (comme celle qui existe entre le CNRFID et la CNIL pour les technologies RFID) semble donc primordiale pour traiter ces sujets de sécurité, de confiance et de respects des règlementations de protection des données.</w:t>
      </w:r>
    </w:p>
    <w:p w:rsidR="009D2702" w:rsidRDefault="00FD6332" w:rsidP="00DD0580">
      <w:pPr>
        <w:jc w:val="both"/>
      </w:pPr>
      <w:r>
        <w:t>L’orientation n°16 va également dans ce sens. On pourrait élargir le dialogue avec les acteurs privés de la sécurité.</w:t>
      </w:r>
    </w:p>
    <w:p w:rsidR="00FD6332" w:rsidRDefault="00FD6332" w:rsidP="00DD0580">
      <w:pPr>
        <w:jc w:val="both"/>
      </w:pPr>
    </w:p>
    <w:p w:rsidR="00FD6332" w:rsidRDefault="00FD6332" w:rsidP="00FD6332">
      <w:pPr>
        <w:pStyle w:val="Titre2"/>
      </w:pPr>
      <w:r>
        <w:t>Question n°13</w:t>
      </w:r>
    </w:p>
    <w:p w:rsidR="00FD6332" w:rsidRDefault="00FD6332" w:rsidP="00DD0580">
      <w:pPr>
        <w:jc w:val="both"/>
      </w:pPr>
      <w:r>
        <w:t>L’initiative de l’ARCEP doit s’inscrire dans la durée. Le monde de l’</w:t>
      </w:r>
      <w:proofErr w:type="spellStart"/>
      <w:r>
        <w:t>IoT</w:t>
      </w:r>
      <w:proofErr w:type="spellEnd"/>
      <w:r>
        <w:t xml:space="preserve"> est en pleine croissance et les technologies évoluent rapidement. Maintenir un niveau de dialogue entre pouvoir publics, fournisseurs et utilisateurs est nécessaire pour réagir au plus vite. Si les « </w:t>
      </w:r>
      <w:proofErr w:type="spellStart"/>
      <w:r>
        <w:t>Early</w:t>
      </w:r>
      <w:proofErr w:type="spellEnd"/>
      <w:r>
        <w:t xml:space="preserve"> </w:t>
      </w:r>
      <w:proofErr w:type="spellStart"/>
      <w:r>
        <w:t>adopters</w:t>
      </w:r>
      <w:proofErr w:type="spellEnd"/>
      <w:r>
        <w:t> » n’ont pas besoin de ce type d’accompagnement, ce n’est pas le cas de la grande majorité des utilisateurs potentiels. Un livre blanc de plus de 6 mois sur le sujet peut déjà apparaitre comme obsolète. Il faut donc maintenir le dialogue. L’ARCEP pourrait compter sur d’autres organisations pour relayer le message et maintenir le dialogue de manière moins « centralisée ». L’AFNOR, les organisations syndicales, les fédérations, etc. sont des soutiens potentiels permettant de démultiplier l’effort sans budget et ressources supplémentaires de la part de l’ARCEP.</w:t>
      </w:r>
    </w:p>
    <w:p w:rsidR="009D2702" w:rsidRDefault="009D2702" w:rsidP="00DD0580">
      <w:pPr>
        <w:jc w:val="both"/>
      </w:pPr>
    </w:p>
    <w:p w:rsidR="00AE5B28" w:rsidRDefault="00F33869" w:rsidP="00DC48DE">
      <w:pPr>
        <w:jc w:val="center"/>
      </w:pPr>
      <w:r>
        <w:t>Fin du document</w:t>
      </w:r>
    </w:p>
    <w:sectPr w:rsidR="00AE5B2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8DE" w:rsidRDefault="00DC48DE" w:rsidP="00DC48DE">
      <w:pPr>
        <w:spacing w:after="0" w:line="240" w:lineRule="auto"/>
      </w:pPr>
      <w:r>
        <w:separator/>
      </w:r>
    </w:p>
  </w:endnote>
  <w:endnote w:type="continuationSeparator" w:id="0">
    <w:p w:rsidR="00DC48DE" w:rsidRDefault="00DC48DE" w:rsidP="00DC4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2667577"/>
      <w:docPartObj>
        <w:docPartGallery w:val="Page Numbers (Bottom of Page)"/>
        <w:docPartUnique/>
      </w:docPartObj>
    </w:sdtPr>
    <w:sdtEndPr/>
    <w:sdtContent>
      <w:p w:rsidR="00DC48DE" w:rsidRDefault="00DC48DE">
        <w:pPr>
          <w:pStyle w:val="Pieddepage"/>
        </w:pPr>
        <w:r>
          <w:fldChar w:fldCharType="begin"/>
        </w:r>
        <w:r>
          <w:instrText>PAGE   \* MERGEFORMAT</w:instrText>
        </w:r>
        <w:r>
          <w:fldChar w:fldCharType="separate"/>
        </w:r>
        <w:r w:rsidR="00553091">
          <w:rPr>
            <w:noProof/>
          </w:rPr>
          <w:t>1</w:t>
        </w:r>
        <w:r>
          <w:fldChar w:fldCharType="end"/>
        </w:r>
      </w:p>
    </w:sdtContent>
  </w:sdt>
  <w:p w:rsidR="00DC48DE" w:rsidRDefault="00DC48D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8DE" w:rsidRDefault="00DC48DE" w:rsidP="00DC48DE">
      <w:pPr>
        <w:spacing w:after="0" w:line="240" w:lineRule="auto"/>
      </w:pPr>
      <w:r>
        <w:separator/>
      </w:r>
    </w:p>
  </w:footnote>
  <w:footnote w:type="continuationSeparator" w:id="0">
    <w:p w:rsidR="00DC48DE" w:rsidRDefault="00DC48DE" w:rsidP="00DC48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0009F"/>
    <w:multiLevelType w:val="hybridMultilevel"/>
    <w:tmpl w:val="E4E0137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nsid w:val="25B83F3C"/>
    <w:multiLevelType w:val="hybridMultilevel"/>
    <w:tmpl w:val="3E3621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2502EC0"/>
    <w:multiLevelType w:val="hybridMultilevel"/>
    <w:tmpl w:val="8B8AD49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6B0"/>
    <w:rsid w:val="000117C9"/>
    <w:rsid w:val="00027CFF"/>
    <w:rsid w:val="00036C2A"/>
    <w:rsid w:val="00186A1E"/>
    <w:rsid w:val="001968C4"/>
    <w:rsid w:val="001F1473"/>
    <w:rsid w:val="00227E8B"/>
    <w:rsid w:val="00235AC8"/>
    <w:rsid w:val="002E00E6"/>
    <w:rsid w:val="00337472"/>
    <w:rsid w:val="00394852"/>
    <w:rsid w:val="00440B3B"/>
    <w:rsid w:val="00450CBD"/>
    <w:rsid w:val="00451D6E"/>
    <w:rsid w:val="005005DA"/>
    <w:rsid w:val="005166D7"/>
    <w:rsid w:val="00553091"/>
    <w:rsid w:val="0057703A"/>
    <w:rsid w:val="005F7391"/>
    <w:rsid w:val="006406B2"/>
    <w:rsid w:val="006B5251"/>
    <w:rsid w:val="007E5D07"/>
    <w:rsid w:val="008071E1"/>
    <w:rsid w:val="008570DC"/>
    <w:rsid w:val="008B682C"/>
    <w:rsid w:val="0091739E"/>
    <w:rsid w:val="009D2702"/>
    <w:rsid w:val="00AE5B28"/>
    <w:rsid w:val="00BF46B0"/>
    <w:rsid w:val="00BF6C3D"/>
    <w:rsid w:val="00C16284"/>
    <w:rsid w:val="00C368F0"/>
    <w:rsid w:val="00C73E9E"/>
    <w:rsid w:val="00DB7364"/>
    <w:rsid w:val="00DC48DE"/>
    <w:rsid w:val="00DD0580"/>
    <w:rsid w:val="00ED6BAA"/>
    <w:rsid w:val="00F33869"/>
    <w:rsid w:val="00F54B43"/>
    <w:rsid w:val="00FC7F90"/>
    <w:rsid w:val="00FD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9A60-F487-41D6-B637-A01FAA304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DD05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DD05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D0580"/>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DD0580"/>
    <w:pPr>
      <w:ind w:left="720"/>
      <w:contextualSpacing/>
    </w:pPr>
  </w:style>
  <w:style w:type="character" w:customStyle="1" w:styleId="Titre2Car">
    <w:name w:val="Titre 2 Car"/>
    <w:basedOn w:val="Policepardfaut"/>
    <w:link w:val="Titre2"/>
    <w:uiPriority w:val="9"/>
    <w:rsid w:val="00DD0580"/>
    <w:rPr>
      <w:rFonts w:asciiTheme="majorHAnsi" w:eastAsiaTheme="majorEastAsia" w:hAnsiTheme="majorHAnsi" w:cstheme="majorBidi"/>
      <w:color w:val="2E74B5" w:themeColor="accent1" w:themeShade="BF"/>
      <w:sz w:val="26"/>
      <w:szCs w:val="26"/>
    </w:rPr>
  </w:style>
  <w:style w:type="paragraph" w:styleId="En-tte">
    <w:name w:val="header"/>
    <w:basedOn w:val="Normal"/>
    <w:link w:val="En-tteCar"/>
    <w:uiPriority w:val="99"/>
    <w:unhideWhenUsed/>
    <w:rsid w:val="00DC48DE"/>
    <w:pPr>
      <w:tabs>
        <w:tab w:val="center" w:pos="4536"/>
        <w:tab w:val="right" w:pos="9072"/>
      </w:tabs>
      <w:spacing w:after="0" w:line="240" w:lineRule="auto"/>
    </w:pPr>
  </w:style>
  <w:style w:type="character" w:customStyle="1" w:styleId="En-tteCar">
    <w:name w:val="En-tête Car"/>
    <w:basedOn w:val="Policepardfaut"/>
    <w:link w:val="En-tte"/>
    <w:uiPriority w:val="99"/>
    <w:rsid w:val="00DC48DE"/>
  </w:style>
  <w:style w:type="paragraph" w:styleId="Pieddepage">
    <w:name w:val="footer"/>
    <w:basedOn w:val="Normal"/>
    <w:link w:val="PieddepageCar"/>
    <w:uiPriority w:val="99"/>
    <w:unhideWhenUsed/>
    <w:rsid w:val="00DC48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C48DE"/>
  </w:style>
  <w:style w:type="character" w:styleId="Lienhypertexte">
    <w:name w:val="Hyperlink"/>
    <w:basedOn w:val="Policepardfaut"/>
    <w:uiPriority w:val="99"/>
    <w:unhideWhenUsed/>
    <w:rsid w:val="000117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14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4innov.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1399</Words>
  <Characters>7695</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Claude Tetelin</dc:creator>
  <cp:keywords/>
  <dc:description/>
  <cp:lastModifiedBy>boissard sandra</cp:lastModifiedBy>
  <cp:revision>5</cp:revision>
  <dcterms:created xsi:type="dcterms:W3CDTF">2016-09-12T07:23:00Z</dcterms:created>
  <dcterms:modified xsi:type="dcterms:W3CDTF">2016-09-12T12:16:00Z</dcterms:modified>
</cp:coreProperties>
</file>